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004DB1" w:rsidP="003870B9">
            <w:pPr>
              <w:ind w:firstLine="567"/>
              <w:jc w:val="center"/>
              <w:rPr>
                <w:rFonts w:ascii="Arial" w:hAnsi="Arial" w:cs="Arial"/>
                <w:b/>
                <w:sz w:val="32"/>
                <w:szCs w:val="32"/>
              </w:rPr>
            </w:pPr>
            <w:r>
              <w:rPr>
                <w:rFonts w:ascii="Arial" w:hAnsi="Arial" w:cs="Arial"/>
                <w:b/>
                <w:sz w:val="32"/>
                <w:szCs w:val="32"/>
              </w:rPr>
              <w:t>О проведении Вебинаров</w:t>
            </w:r>
            <w:r w:rsidR="00FE468B">
              <w:rPr>
                <w:rFonts w:ascii="Arial" w:hAnsi="Arial" w:cs="Arial"/>
                <w:b/>
                <w:sz w:val="32"/>
                <w:szCs w:val="32"/>
              </w:rPr>
              <w:t xml:space="preserve"> в </w:t>
            </w:r>
            <w:r w:rsidR="007F1925">
              <w:rPr>
                <w:rFonts w:ascii="Arial" w:hAnsi="Arial" w:cs="Arial"/>
                <w:b/>
                <w:sz w:val="32"/>
                <w:szCs w:val="32"/>
              </w:rPr>
              <w:t>феврале и марте</w:t>
            </w:r>
            <w:r w:rsidR="00FE468B">
              <w:rPr>
                <w:rFonts w:ascii="Arial" w:hAnsi="Arial" w:cs="Arial"/>
                <w:b/>
                <w:sz w:val="32"/>
                <w:szCs w:val="32"/>
              </w:rPr>
              <w:t xml:space="preserve"> 202</w:t>
            </w:r>
            <w:r w:rsidR="007F1925">
              <w:rPr>
                <w:rFonts w:ascii="Arial" w:hAnsi="Arial" w:cs="Arial"/>
                <w:b/>
                <w:sz w:val="32"/>
                <w:szCs w:val="32"/>
              </w:rPr>
              <w:t>2</w:t>
            </w:r>
            <w:r w:rsidR="00FE468B">
              <w:rPr>
                <w:rFonts w:ascii="Arial" w:hAnsi="Arial" w:cs="Arial"/>
                <w:b/>
                <w:sz w:val="32"/>
                <w:szCs w:val="32"/>
              </w:rPr>
              <w:t xml:space="preserve"> года</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981B50" w:rsidRDefault="00BF42E7" w:rsidP="00004DB1">
      <w:pPr>
        <w:ind w:firstLine="720"/>
        <w:jc w:val="both"/>
        <w:rPr>
          <w:rFonts w:ascii="Arial" w:hAnsi="Arial" w:cs="Arial"/>
          <w:color w:val="000000"/>
          <w:sz w:val="26"/>
          <w:szCs w:val="26"/>
        </w:rPr>
      </w:pPr>
      <w:r w:rsidRPr="000A7B6E">
        <w:rPr>
          <w:rFonts w:ascii="Arial" w:hAnsi="Arial" w:cs="Arial"/>
          <w:color w:val="000000"/>
          <w:sz w:val="26"/>
          <w:szCs w:val="26"/>
        </w:rPr>
        <w:t>Межрайонная И</w:t>
      </w:r>
      <w:r w:rsidR="007D5FE8">
        <w:rPr>
          <w:rFonts w:ascii="Arial" w:hAnsi="Arial" w:cs="Arial"/>
          <w:color w:val="000000"/>
          <w:sz w:val="26"/>
          <w:szCs w:val="26"/>
        </w:rPr>
        <w:t>ФН</w:t>
      </w:r>
      <w:r w:rsidRPr="000A7B6E">
        <w:rPr>
          <w:rFonts w:ascii="Arial" w:hAnsi="Arial" w:cs="Arial"/>
          <w:color w:val="000000"/>
          <w:sz w:val="26"/>
          <w:szCs w:val="26"/>
        </w:rPr>
        <w:t xml:space="preserve">С России № 7 по Красноярскому краю </w:t>
      </w:r>
      <w:r w:rsidR="00004DB1">
        <w:rPr>
          <w:rFonts w:ascii="Arial" w:hAnsi="Arial" w:cs="Arial"/>
          <w:color w:val="000000"/>
          <w:sz w:val="26"/>
          <w:szCs w:val="26"/>
        </w:rPr>
        <w:t>приглашает</w:t>
      </w:r>
      <w:r w:rsidRPr="000A7B6E">
        <w:rPr>
          <w:rFonts w:ascii="Arial" w:hAnsi="Arial" w:cs="Arial"/>
          <w:color w:val="000000"/>
          <w:sz w:val="26"/>
          <w:szCs w:val="26"/>
        </w:rPr>
        <w:t xml:space="preserve"> </w:t>
      </w:r>
      <w:r w:rsidR="0065770C">
        <w:rPr>
          <w:rFonts w:ascii="Arial" w:hAnsi="Arial" w:cs="Arial"/>
          <w:color w:val="000000"/>
          <w:sz w:val="26"/>
          <w:szCs w:val="26"/>
        </w:rPr>
        <w:t xml:space="preserve">налогоплательщиков </w:t>
      </w:r>
      <w:r w:rsidR="00004DB1">
        <w:rPr>
          <w:rFonts w:ascii="Arial" w:hAnsi="Arial" w:cs="Arial"/>
          <w:color w:val="000000"/>
          <w:sz w:val="26"/>
          <w:szCs w:val="26"/>
        </w:rPr>
        <w:t>принять участие в вебинарах, проводимых Управлением ФНС России по Красноярскому краю:</w:t>
      </w:r>
    </w:p>
    <w:p w:rsidR="00FE468B" w:rsidRDefault="00FE468B" w:rsidP="00004DB1">
      <w:pPr>
        <w:ind w:firstLine="720"/>
        <w:jc w:val="both"/>
        <w:rPr>
          <w:rFonts w:ascii="Arial" w:hAnsi="Arial" w:cs="Arial"/>
          <w:color w:val="000000"/>
          <w:sz w:val="26"/>
          <w:szCs w:val="26"/>
        </w:rPr>
      </w:pPr>
    </w:p>
    <w:tbl>
      <w:tblPr>
        <w:tblStyle w:val="af6"/>
        <w:tblW w:w="0" w:type="auto"/>
        <w:jc w:val="center"/>
        <w:tblLook w:val="04A0" w:firstRow="1" w:lastRow="0" w:firstColumn="1" w:lastColumn="0" w:noHBand="0" w:noVBand="1"/>
      </w:tblPr>
      <w:tblGrid>
        <w:gridCol w:w="1581"/>
        <w:gridCol w:w="2661"/>
        <w:gridCol w:w="5954"/>
      </w:tblGrid>
      <w:tr w:rsidR="00FE468B" w:rsidTr="00FE468B">
        <w:trPr>
          <w:jc w:val="center"/>
        </w:trPr>
        <w:tc>
          <w:tcPr>
            <w:tcW w:w="2393" w:type="dxa"/>
          </w:tcPr>
          <w:p w:rsidR="007F1925" w:rsidRDefault="007F1925" w:rsidP="00321C2D">
            <w:pPr>
              <w:textAlignment w:val="top"/>
              <w:rPr>
                <w:rFonts w:ascii="Arial" w:hAnsi="Arial" w:cs="Arial"/>
                <w:b/>
                <w:sz w:val="26"/>
                <w:szCs w:val="26"/>
              </w:rPr>
            </w:pPr>
            <w:r w:rsidRPr="007F1925">
              <w:rPr>
                <w:rFonts w:ascii="Arial" w:hAnsi="Arial" w:cs="Arial"/>
                <w:b/>
                <w:sz w:val="26"/>
                <w:szCs w:val="26"/>
              </w:rPr>
              <w:t xml:space="preserve">25 февраля 2022 года </w:t>
            </w:r>
          </w:p>
          <w:p w:rsidR="007F1925" w:rsidRDefault="007F1925" w:rsidP="00321C2D">
            <w:pPr>
              <w:textAlignment w:val="top"/>
              <w:rPr>
                <w:rFonts w:ascii="Arial" w:hAnsi="Arial" w:cs="Arial"/>
                <w:b/>
                <w:sz w:val="26"/>
                <w:szCs w:val="26"/>
              </w:rPr>
            </w:pPr>
          </w:p>
          <w:p w:rsidR="00FE468B" w:rsidRPr="007F1925" w:rsidRDefault="007F1925" w:rsidP="00321C2D">
            <w:pPr>
              <w:textAlignment w:val="top"/>
              <w:rPr>
                <w:rFonts w:ascii="Arial" w:hAnsi="Arial" w:cs="Arial"/>
                <w:color w:val="000000"/>
                <w:sz w:val="26"/>
                <w:szCs w:val="26"/>
              </w:rPr>
            </w:pPr>
            <w:r w:rsidRPr="007F1925">
              <w:rPr>
                <w:rFonts w:ascii="Arial" w:hAnsi="Arial" w:cs="Arial"/>
                <w:b/>
                <w:sz w:val="26"/>
                <w:szCs w:val="26"/>
              </w:rPr>
              <w:t>в 10.00 часов</w:t>
            </w:r>
          </w:p>
        </w:tc>
        <w:tc>
          <w:tcPr>
            <w:tcW w:w="3138" w:type="dxa"/>
          </w:tcPr>
          <w:p w:rsidR="00FE468B" w:rsidRPr="007F1925" w:rsidRDefault="007F1925" w:rsidP="00321C2D">
            <w:pPr>
              <w:textAlignment w:val="top"/>
              <w:rPr>
                <w:rFonts w:ascii="Arial" w:hAnsi="Arial" w:cs="Arial"/>
                <w:color w:val="000000"/>
                <w:sz w:val="26"/>
                <w:szCs w:val="26"/>
              </w:rPr>
            </w:pPr>
            <w:r w:rsidRPr="007F1925">
              <w:rPr>
                <w:rFonts w:ascii="Arial" w:hAnsi="Arial" w:cs="Arial"/>
                <w:sz w:val="26"/>
                <w:szCs w:val="26"/>
              </w:rPr>
              <w:t>Анализ сведений, поступивших в Национальную систему прослеживаемости товаров, выявление и устранение несоответствий и рисков</w:t>
            </w:r>
            <w:r w:rsidR="00321C2D">
              <w:rPr>
                <w:rFonts w:ascii="Arial" w:hAnsi="Arial" w:cs="Arial"/>
                <w:sz w:val="26"/>
                <w:szCs w:val="26"/>
              </w:rPr>
              <w:t>.</w:t>
            </w:r>
            <w:bookmarkStart w:id="0" w:name="_GoBack"/>
            <w:bookmarkEnd w:id="0"/>
          </w:p>
        </w:tc>
        <w:tc>
          <w:tcPr>
            <w:tcW w:w="4665" w:type="dxa"/>
          </w:tcPr>
          <w:p w:rsidR="00FE468B" w:rsidRPr="007F1925" w:rsidRDefault="00321C2D" w:rsidP="006D5402">
            <w:pPr>
              <w:jc w:val="center"/>
              <w:textAlignment w:val="top"/>
              <w:rPr>
                <w:rFonts w:ascii="Arial" w:hAnsi="Arial" w:cs="Arial"/>
                <w:color w:val="3333FF"/>
                <w:sz w:val="26"/>
                <w:szCs w:val="26"/>
                <w:u w:val="single"/>
              </w:rPr>
            </w:pPr>
            <w:hyperlink r:id="rId6" w:history="1">
              <w:r w:rsidR="007F1925" w:rsidRPr="007F1925">
                <w:rPr>
                  <w:rStyle w:val="a8"/>
                  <w:rFonts w:ascii="Arial" w:hAnsi="Arial" w:cs="Arial"/>
                  <w:sz w:val="26"/>
                  <w:szCs w:val="26"/>
                </w:rPr>
                <w:t>https://w.sbis.ru/event/webinar_redirect/25022022</w:t>
              </w:r>
            </w:hyperlink>
          </w:p>
          <w:p w:rsidR="007F1925" w:rsidRPr="007F1925" w:rsidRDefault="007F1925" w:rsidP="006D5402">
            <w:pPr>
              <w:jc w:val="center"/>
              <w:textAlignment w:val="top"/>
              <w:rPr>
                <w:rFonts w:ascii="Arial" w:hAnsi="Arial" w:cs="Arial"/>
                <w:color w:val="000000"/>
                <w:sz w:val="26"/>
                <w:szCs w:val="26"/>
              </w:rPr>
            </w:pPr>
            <w:r w:rsidRPr="007F1925">
              <w:rPr>
                <w:rFonts w:ascii="Arial" w:hAnsi="Arial" w:cs="Arial"/>
                <w:noProof/>
                <w:sz w:val="26"/>
                <w:szCs w:val="26"/>
              </w:rPr>
              <w:drawing>
                <wp:inline distT="0" distB="0" distL="0" distR="0" wp14:anchorId="5260414D" wp14:editId="51B61365">
                  <wp:extent cx="147637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r>
      <w:tr w:rsidR="00FE468B" w:rsidTr="00FE468B">
        <w:trPr>
          <w:jc w:val="center"/>
        </w:trPr>
        <w:tc>
          <w:tcPr>
            <w:tcW w:w="2393" w:type="dxa"/>
          </w:tcPr>
          <w:p w:rsidR="007F1925" w:rsidRDefault="007F1925" w:rsidP="00321C2D">
            <w:pPr>
              <w:textAlignment w:val="top"/>
              <w:rPr>
                <w:rFonts w:ascii="Arial" w:hAnsi="Arial" w:cs="Arial"/>
                <w:b/>
                <w:sz w:val="26"/>
                <w:szCs w:val="26"/>
              </w:rPr>
            </w:pPr>
            <w:r w:rsidRPr="007F1925">
              <w:rPr>
                <w:rFonts w:ascii="Arial" w:hAnsi="Arial" w:cs="Arial"/>
                <w:b/>
                <w:sz w:val="26"/>
                <w:szCs w:val="26"/>
              </w:rPr>
              <w:t xml:space="preserve">02 марта </w:t>
            </w:r>
            <w:r>
              <w:rPr>
                <w:rFonts w:ascii="Arial" w:hAnsi="Arial" w:cs="Arial"/>
                <w:b/>
                <w:sz w:val="26"/>
                <w:szCs w:val="26"/>
              </w:rPr>
              <w:t>2022</w:t>
            </w:r>
          </w:p>
          <w:p w:rsidR="007F1925" w:rsidRDefault="007F1925" w:rsidP="00321C2D">
            <w:pPr>
              <w:textAlignment w:val="top"/>
              <w:rPr>
                <w:rFonts w:ascii="Arial" w:hAnsi="Arial" w:cs="Arial"/>
                <w:b/>
                <w:sz w:val="26"/>
                <w:szCs w:val="26"/>
              </w:rPr>
            </w:pPr>
          </w:p>
          <w:p w:rsidR="00FE468B" w:rsidRPr="007F1925" w:rsidRDefault="007F1925" w:rsidP="00321C2D">
            <w:pPr>
              <w:textAlignment w:val="top"/>
              <w:rPr>
                <w:rFonts w:ascii="Arial" w:hAnsi="Arial" w:cs="Arial"/>
                <w:color w:val="000000"/>
                <w:sz w:val="26"/>
                <w:szCs w:val="26"/>
              </w:rPr>
            </w:pPr>
            <w:r w:rsidRPr="007F1925">
              <w:rPr>
                <w:rFonts w:ascii="Arial" w:hAnsi="Arial" w:cs="Arial"/>
                <w:b/>
                <w:sz w:val="26"/>
                <w:szCs w:val="26"/>
              </w:rPr>
              <w:t>в 11.00 часов</w:t>
            </w:r>
          </w:p>
        </w:tc>
        <w:tc>
          <w:tcPr>
            <w:tcW w:w="3138" w:type="dxa"/>
          </w:tcPr>
          <w:p w:rsidR="007F1925" w:rsidRPr="007F1925" w:rsidRDefault="007F1925" w:rsidP="00321C2D">
            <w:pPr>
              <w:adjustRightInd w:val="0"/>
              <w:rPr>
                <w:rFonts w:ascii="Arial" w:hAnsi="Arial" w:cs="Arial"/>
                <w:sz w:val="26"/>
                <w:szCs w:val="26"/>
              </w:rPr>
            </w:pPr>
            <w:r>
              <w:rPr>
                <w:rFonts w:ascii="Arial" w:hAnsi="Arial" w:cs="Arial"/>
                <w:sz w:val="26"/>
                <w:szCs w:val="26"/>
              </w:rPr>
              <w:t xml:space="preserve">- </w:t>
            </w:r>
            <w:r w:rsidR="00321C2D">
              <w:rPr>
                <w:rFonts w:ascii="Arial" w:hAnsi="Arial" w:cs="Arial"/>
                <w:sz w:val="26"/>
                <w:szCs w:val="26"/>
              </w:rPr>
              <w:t>Г</w:t>
            </w:r>
            <w:r w:rsidRPr="007F1925">
              <w:rPr>
                <w:rFonts w:ascii="Arial" w:hAnsi="Arial" w:cs="Arial"/>
                <w:sz w:val="26"/>
                <w:szCs w:val="26"/>
              </w:rPr>
              <w:t>осударственная регистрация ЮЛ и ИП. Преимущества электронного способа подачи документов на государственную регистрацию;</w:t>
            </w:r>
          </w:p>
          <w:p w:rsidR="007F1925" w:rsidRPr="007F1925" w:rsidRDefault="007F1925" w:rsidP="00321C2D">
            <w:pPr>
              <w:adjustRightInd w:val="0"/>
              <w:rPr>
                <w:rFonts w:ascii="Arial" w:hAnsi="Arial" w:cs="Arial"/>
                <w:sz w:val="26"/>
                <w:szCs w:val="26"/>
              </w:rPr>
            </w:pPr>
            <w:r w:rsidRPr="007F1925">
              <w:rPr>
                <w:rFonts w:ascii="Arial" w:hAnsi="Arial" w:cs="Arial"/>
                <w:sz w:val="26"/>
                <w:szCs w:val="26"/>
              </w:rPr>
              <w:t xml:space="preserve">- </w:t>
            </w:r>
            <w:r w:rsidR="00321C2D">
              <w:rPr>
                <w:rFonts w:ascii="Arial" w:hAnsi="Arial" w:cs="Arial"/>
                <w:sz w:val="26"/>
                <w:szCs w:val="26"/>
              </w:rPr>
              <w:t>О</w:t>
            </w:r>
            <w:r w:rsidRPr="007F1925">
              <w:rPr>
                <w:rFonts w:ascii="Arial" w:hAnsi="Arial" w:cs="Arial"/>
                <w:sz w:val="26"/>
                <w:szCs w:val="26"/>
              </w:rPr>
              <w:t>бзор основных ошибок, допускаемых заявителями при подаче документов на государственную регистрацию;</w:t>
            </w:r>
          </w:p>
          <w:p w:rsidR="00FE468B" w:rsidRPr="007F1925" w:rsidRDefault="007F1925" w:rsidP="00321C2D">
            <w:pPr>
              <w:textAlignment w:val="top"/>
              <w:rPr>
                <w:rFonts w:ascii="Arial" w:hAnsi="Arial" w:cs="Arial"/>
                <w:color w:val="000000"/>
                <w:sz w:val="26"/>
                <w:szCs w:val="26"/>
              </w:rPr>
            </w:pPr>
            <w:r w:rsidRPr="007F1925">
              <w:rPr>
                <w:rFonts w:ascii="Arial" w:hAnsi="Arial" w:cs="Arial"/>
                <w:sz w:val="26"/>
                <w:szCs w:val="26"/>
              </w:rPr>
              <w:t>-</w:t>
            </w:r>
            <w:r w:rsidR="00321C2D">
              <w:rPr>
                <w:rFonts w:ascii="Arial" w:hAnsi="Arial" w:cs="Arial"/>
                <w:sz w:val="26"/>
                <w:szCs w:val="26"/>
              </w:rPr>
              <w:t xml:space="preserve"> И</w:t>
            </w:r>
            <w:r w:rsidRPr="007F1925">
              <w:rPr>
                <w:rFonts w:ascii="Arial" w:hAnsi="Arial" w:cs="Arial"/>
                <w:sz w:val="26"/>
                <w:szCs w:val="26"/>
              </w:rPr>
              <w:t>нтерактивные сервисы ФНС России в помощь заявителям</w:t>
            </w:r>
            <w:r w:rsidR="00321C2D">
              <w:rPr>
                <w:rFonts w:ascii="Arial" w:hAnsi="Arial" w:cs="Arial"/>
                <w:sz w:val="26"/>
                <w:szCs w:val="26"/>
              </w:rPr>
              <w:t>.</w:t>
            </w:r>
          </w:p>
        </w:tc>
        <w:tc>
          <w:tcPr>
            <w:tcW w:w="4665" w:type="dxa"/>
          </w:tcPr>
          <w:p w:rsidR="00FE468B" w:rsidRPr="00321C2D" w:rsidRDefault="00321C2D" w:rsidP="006D5402">
            <w:pPr>
              <w:jc w:val="center"/>
              <w:textAlignment w:val="top"/>
              <w:rPr>
                <w:rStyle w:val="a8"/>
                <w:rFonts w:ascii="Arial" w:hAnsi="Arial" w:cs="Arial"/>
                <w:sz w:val="26"/>
                <w:szCs w:val="26"/>
              </w:rPr>
            </w:pPr>
            <w:hyperlink r:id="rId8" w:history="1">
              <w:r w:rsidR="007F1925" w:rsidRPr="00321C2D">
                <w:rPr>
                  <w:rStyle w:val="a8"/>
                  <w:rFonts w:ascii="Arial" w:hAnsi="Arial" w:cs="Arial"/>
                  <w:sz w:val="26"/>
                  <w:szCs w:val="26"/>
                </w:rPr>
                <w:t>https://w.sbis.ru/webinar/020322</w:t>
              </w:r>
            </w:hyperlink>
          </w:p>
          <w:p w:rsidR="007F1925" w:rsidRDefault="007F1925" w:rsidP="006D5402">
            <w:pPr>
              <w:jc w:val="center"/>
              <w:textAlignment w:val="top"/>
              <w:rPr>
                <w:rFonts w:ascii="Arial" w:hAnsi="Arial" w:cs="Arial"/>
                <w:color w:val="000000"/>
                <w:sz w:val="26"/>
                <w:szCs w:val="26"/>
              </w:rPr>
            </w:pPr>
          </w:p>
          <w:p w:rsidR="007F1925" w:rsidRDefault="007F1925" w:rsidP="006D5402">
            <w:pPr>
              <w:jc w:val="center"/>
              <w:textAlignment w:val="top"/>
              <w:rPr>
                <w:rFonts w:ascii="Arial" w:hAnsi="Arial" w:cs="Arial"/>
                <w:color w:val="000000"/>
                <w:sz w:val="26"/>
                <w:szCs w:val="26"/>
              </w:rPr>
            </w:pPr>
            <w:r>
              <w:rPr>
                <w:noProof/>
                <w:sz w:val="26"/>
                <w:szCs w:val="26"/>
              </w:rPr>
              <w:drawing>
                <wp:inline distT="0" distB="0" distL="0" distR="0" wp14:anchorId="060D31BE" wp14:editId="4339FE38">
                  <wp:extent cx="1438275" cy="1438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0" cy="1438270"/>
                          </a:xfrm>
                          <a:prstGeom prst="rect">
                            <a:avLst/>
                          </a:prstGeom>
                          <a:noFill/>
                          <a:ln>
                            <a:noFill/>
                          </a:ln>
                        </pic:spPr>
                      </pic:pic>
                    </a:graphicData>
                  </a:graphic>
                </wp:inline>
              </w:drawing>
            </w:r>
          </w:p>
        </w:tc>
      </w:tr>
      <w:tr w:rsidR="00FE468B" w:rsidTr="00FE468B">
        <w:trPr>
          <w:jc w:val="center"/>
        </w:trPr>
        <w:tc>
          <w:tcPr>
            <w:tcW w:w="2393" w:type="dxa"/>
          </w:tcPr>
          <w:p w:rsidR="007F1925" w:rsidRDefault="007F1925" w:rsidP="00321C2D">
            <w:pPr>
              <w:textAlignment w:val="top"/>
              <w:rPr>
                <w:rFonts w:ascii="Arial" w:hAnsi="Arial" w:cs="Arial"/>
                <w:b/>
                <w:sz w:val="26"/>
                <w:szCs w:val="26"/>
              </w:rPr>
            </w:pPr>
            <w:r w:rsidRPr="007F1925">
              <w:rPr>
                <w:rFonts w:ascii="Arial" w:hAnsi="Arial" w:cs="Arial"/>
                <w:b/>
                <w:sz w:val="26"/>
                <w:szCs w:val="26"/>
              </w:rPr>
              <w:t xml:space="preserve">16 марта </w:t>
            </w:r>
            <w:r>
              <w:rPr>
                <w:rFonts w:ascii="Arial" w:hAnsi="Arial" w:cs="Arial"/>
                <w:b/>
                <w:sz w:val="26"/>
                <w:szCs w:val="26"/>
              </w:rPr>
              <w:t>2022</w:t>
            </w:r>
          </w:p>
          <w:p w:rsidR="007F1925" w:rsidRDefault="007F1925" w:rsidP="00321C2D">
            <w:pPr>
              <w:textAlignment w:val="top"/>
              <w:rPr>
                <w:rFonts w:ascii="Arial" w:hAnsi="Arial" w:cs="Arial"/>
                <w:b/>
                <w:sz w:val="26"/>
                <w:szCs w:val="26"/>
              </w:rPr>
            </w:pPr>
          </w:p>
          <w:p w:rsidR="00FE468B" w:rsidRPr="007F1925" w:rsidRDefault="007F1925" w:rsidP="00321C2D">
            <w:pPr>
              <w:textAlignment w:val="top"/>
              <w:rPr>
                <w:rFonts w:ascii="Arial" w:hAnsi="Arial" w:cs="Arial"/>
                <w:color w:val="000000"/>
                <w:sz w:val="26"/>
                <w:szCs w:val="26"/>
              </w:rPr>
            </w:pPr>
            <w:r w:rsidRPr="007F1925">
              <w:rPr>
                <w:rFonts w:ascii="Arial" w:hAnsi="Arial" w:cs="Arial"/>
                <w:b/>
                <w:sz w:val="26"/>
                <w:szCs w:val="26"/>
              </w:rPr>
              <w:t>в 11.00 часов</w:t>
            </w:r>
          </w:p>
        </w:tc>
        <w:tc>
          <w:tcPr>
            <w:tcW w:w="3138" w:type="dxa"/>
          </w:tcPr>
          <w:p w:rsidR="00FE468B" w:rsidRPr="007F1925" w:rsidRDefault="00321C2D" w:rsidP="00321C2D">
            <w:pPr>
              <w:textAlignment w:val="top"/>
              <w:rPr>
                <w:rFonts w:ascii="Arial" w:hAnsi="Arial" w:cs="Arial"/>
                <w:color w:val="000000"/>
                <w:sz w:val="26"/>
                <w:szCs w:val="26"/>
              </w:rPr>
            </w:pPr>
            <w:r>
              <w:rPr>
                <w:rFonts w:ascii="Arial" w:hAnsi="Arial" w:cs="Arial"/>
                <w:sz w:val="26"/>
                <w:szCs w:val="26"/>
              </w:rPr>
              <w:t>П</w:t>
            </w:r>
            <w:r w:rsidR="007F1925" w:rsidRPr="007F1925">
              <w:rPr>
                <w:rFonts w:ascii="Arial" w:hAnsi="Arial" w:cs="Arial"/>
                <w:sz w:val="26"/>
                <w:szCs w:val="26"/>
              </w:rPr>
              <w:t>роблемные аспекты налога на имущество организаций – движимое или недвижимое</w:t>
            </w:r>
            <w:r>
              <w:rPr>
                <w:rFonts w:ascii="Arial" w:hAnsi="Arial" w:cs="Arial"/>
                <w:sz w:val="26"/>
                <w:szCs w:val="26"/>
              </w:rPr>
              <w:t>.</w:t>
            </w:r>
          </w:p>
        </w:tc>
        <w:tc>
          <w:tcPr>
            <w:tcW w:w="4665" w:type="dxa"/>
          </w:tcPr>
          <w:p w:rsidR="007F1925" w:rsidRPr="007F1925" w:rsidRDefault="00321C2D" w:rsidP="00321C2D">
            <w:pPr>
              <w:jc w:val="center"/>
              <w:rPr>
                <w:rFonts w:ascii="Arial" w:hAnsi="Arial" w:cs="Arial"/>
                <w:sz w:val="26"/>
                <w:szCs w:val="26"/>
              </w:rPr>
            </w:pPr>
            <w:hyperlink r:id="rId10" w:history="1">
              <w:r w:rsidR="007F1925" w:rsidRPr="007F1925">
                <w:rPr>
                  <w:rStyle w:val="a8"/>
                  <w:rFonts w:ascii="Arial" w:hAnsi="Arial" w:cs="Arial"/>
                  <w:sz w:val="26"/>
                  <w:szCs w:val="26"/>
                </w:rPr>
                <w:t>https://w.sbis.ru/webinar/220316</w:t>
              </w:r>
            </w:hyperlink>
          </w:p>
          <w:p w:rsidR="00FE468B" w:rsidRDefault="007F1925" w:rsidP="006D5402">
            <w:pPr>
              <w:jc w:val="center"/>
              <w:textAlignment w:val="top"/>
              <w:rPr>
                <w:rFonts w:ascii="Arial" w:hAnsi="Arial" w:cs="Arial"/>
                <w:color w:val="000000"/>
                <w:sz w:val="26"/>
                <w:szCs w:val="26"/>
              </w:rPr>
            </w:pPr>
            <w:r>
              <w:rPr>
                <w:noProof/>
                <w:sz w:val="26"/>
                <w:szCs w:val="26"/>
              </w:rPr>
              <w:drawing>
                <wp:inline distT="0" distB="0" distL="0" distR="0" wp14:anchorId="6B21549C" wp14:editId="78B7DC2E">
                  <wp:extent cx="1409700" cy="1409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695" cy="1409695"/>
                          </a:xfrm>
                          <a:prstGeom prst="rect">
                            <a:avLst/>
                          </a:prstGeom>
                          <a:noFill/>
                          <a:ln>
                            <a:noFill/>
                          </a:ln>
                        </pic:spPr>
                      </pic:pic>
                    </a:graphicData>
                  </a:graphic>
                </wp:inline>
              </w:drawing>
            </w:r>
          </w:p>
          <w:p w:rsidR="007F1925" w:rsidRDefault="007F1925" w:rsidP="006D5402">
            <w:pPr>
              <w:jc w:val="center"/>
              <w:textAlignment w:val="top"/>
              <w:rPr>
                <w:rFonts w:ascii="Arial" w:hAnsi="Arial" w:cs="Arial"/>
                <w:color w:val="000000"/>
                <w:sz w:val="26"/>
                <w:szCs w:val="26"/>
              </w:rPr>
            </w:pPr>
          </w:p>
        </w:tc>
      </w:tr>
    </w:tbl>
    <w:p w:rsidR="00162447" w:rsidRPr="00AB69C1" w:rsidRDefault="00162447">
      <w:pPr>
        <w:shd w:val="clear" w:color="auto" w:fill="FFFFFF"/>
        <w:ind w:firstLine="567"/>
        <w:jc w:val="both"/>
        <w:textAlignment w:val="top"/>
        <w:rPr>
          <w:rFonts w:ascii="Arial" w:hAnsi="Arial" w:cs="Arial"/>
          <w:color w:val="000000"/>
          <w:sz w:val="26"/>
          <w:szCs w:val="26"/>
        </w:rPr>
      </w:pPr>
    </w:p>
    <w:sectPr w:rsidR="00162447" w:rsidRPr="00AB69C1" w:rsidSect="00AB69C1">
      <w:pgSz w:w="11906" w:h="16838"/>
      <w:pgMar w:top="426" w:right="566"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04DB1"/>
    <w:rsid w:val="00010074"/>
    <w:rsid w:val="00011DC6"/>
    <w:rsid w:val="00021963"/>
    <w:rsid w:val="00037C12"/>
    <w:rsid w:val="000460D4"/>
    <w:rsid w:val="000518AC"/>
    <w:rsid w:val="00056E98"/>
    <w:rsid w:val="00062AA9"/>
    <w:rsid w:val="0006413E"/>
    <w:rsid w:val="00076FC4"/>
    <w:rsid w:val="00077EB8"/>
    <w:rsid w:val="00084AB9"/>
    <w:rsid w:val="000A05AE"/>
    <w:rsid w:val="000A5285"/>
    <w:rsid w:val="000A7B6E"/>
    <w:rsid w:val="000B2234"/>
    <w:rsid w:val="000B57B0"/>
    <w:rsid w:val="000B6FB7"/>
    <w:rsid w:val="000C0517"/>
    <w:rsid w:val="000C22F8"/>
    <w:rsid w:val="000C3A42"/>
    <w:rsid w:val="000C58FE"/>
    <w:rsid w:val="000D464B"/>
    <w:rsid w:val="000D68F7"/>
    <w:rsid w:val="000E117B"/>
    <w:rsid w:val="000F60E4"/>
    <w:rsid w:val="00103CD6"/>
    <w:rsid w:val="00111215"/>
    <w:rsid w:val="0011220E"/>
    <w:rsid w:val="00112693"/>
    <w:rsid w:val="001146FC"/>
    <w:rsid w:val="00125D2A"/>
    <w:rsid w:val="00126ABB"/>
    <w:rsid w:val="001401A7"/>
    <w:rsid w:val="00141B02"/>
    <w:rsid w:val="00143A7A"/>
    <w:rsid w:val="00150C73"/>
    <w:rsid w:val="0015611B"/>
    <w:rsid w:val="00162447"/>
    <w:rsid w:val="0016384D"/>
    <w:rsid w:val="0017662F"/>
    <w:rsid w:val="001832AE"/>
    <w:rsid w:val="001A1481"/>
    <w:rsid w:val="001A36CE"/>
    <w:rsid w:val="001A6AD8"/>
    <w:rsid w:val="001B0328"/>
    <w:rsid w:val="001C6A20"/>
    <w:rsid w:val="001D4843"/>
    <w:rsid w:val="001D6431"/>
    <w:rsid w:val="001D70EA"/>
    <w:rsid w:val="001F31E3"/>
    <w:rsid w:val="001F3F2D"/>
    <w:rsid w:val="001F4B9C"/>
    <w:rsid w:val="001F6682"/>
    <w:rsid w:val="002019DD"/>
    <w:rsid w:val="00205C46"/>
    <w:rsid w:val="002061AD"/>
    <w:rsid w:val="00225E40"/>
    <w:rsid w:val="002350D8"/>
    <w:rsid w:val="002361B9"/>
    <w:rsid w:val="00251F67"/>
    <w:rsid w:val="002530F2"/>
    <w:rsid w:val="0025634D"/>
    <w:rsid w:val="002613B0"/>
    <w:rsid w:val="00264F77"/>
    <w:rsid w:val="00266C85"/>
    <w:rsid w:val="002770E2"/>
    <w:rsid w:val="00292765"/>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21C2D"/>
    <w:rsid w:val="003329BA"/>
    <w:rsid w:val="00345762"/>
    <w:rsid w:val="00351A57"/>
    <w:rsid w:val="003544FD"/>
    <w:rsid w:val="00371DC7"/>
    <w:rsid w:val="003853C0"/>
    <w:rsid w:val="003871DF"/>
    <w:rsid w:val="00392ADA"/>
    <w:rsid w:val="00397BEC"/>
    <w:rsid w:val="003B115F"/>
    <w:rsid w:val="003B4B64"/>
    <w:rsid w:val="003B53D6"/>
    <w:rsid w:val="003B6C5D"/>
    <w:rsid w:val="003C1B6F"/>
    <w:rsid w:val="003C6959"/>
    <w:rsid w:val="003D1C8C"/>
    <w:rsid w:val="003D22B3"/>
    <w:rsid w:val="003E16C9"/>
    <w:rsid w:val="003F158B"/>
    <w:rsid w:val="003F6F73"/>
    <w:rsid w:val="0040212E"/>
    <w:rsid w:val="00405A51"/>
    <w:rsid w:val="004109D6"/>
    <w:rsid w:val="00411F89"/>
    <w:rsid w:val="00435BD5"/>
    <w:rsid w:val="00437555"/>
    <w:rsid w:val="0044049D"/>
    <w:rsid w:val="0045086B"/>
    <w:rsid w:val="00450BC2"/>
    <w:rsid w:val="00451037"/>
    <w:rsid w:val="004656D0"/>
    <w:rsid w:val="004669C5"/>
    <w:rsid w:val="00477876"/>
    <w:rsid w:val="0048332C"/>
    <w:rsid w:val="00485FB2"/>
    <w:rsid w:val="00490CDA"/>
    <w:rsid w:val="00490DB8"/>
    <w:rsid w:val="004913D4"/>
    <w:rsid w:val="004958EA"/>
    <w:rsid w:val="004A23A0"/>
    <w:rsid w:val="004A2715"/>
    <w:rsid w:val="004A4AA4"/>
    <w:rsid w:val="004B2372"/>
    <w:rsid w:val="004C34AF"/>
    <w:rsid w:val="004C6CCE"/>
    <w:rsid w:val="004D011D"/>
    <w:rsid w:val="004D4F2C"/>
    <w:rsid w:val="004D5558"/>
    <w:rsid w:val="004D64B1"/>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0495"/>
    <w:rsid w:val="005F7B00"/>
    <w:rsid w:val="00611FBA"/>
    <w:rsid w:val="00616B46"/>
    <w:rsid w:val="006373B5"/>
    <w:rsid w:val="0063752B"/>
    <w:rsid w:val="00641199"/>
    <w:rsid w:val="006439F4"/>
    <w:rsid w:val="00646A30"/>
    <w:rsid w:val="0065770C"/>
    <w:rsid w:val="00657B99"/>
    <w:rsid w:val="00662020"/>
    <w:rsid w:val="00664590"/>
    <w:rsid w:val="00676694"/>
    <w:rsid w:val="00683B86"/>
    <w:rsid w:val="00685C79"/>
    <w:rsid w:val="0069172D"/>
    <w:rsid w:val="00691E67"/>
    <w:rsid w:val="006965E4"/>
    <w:rsid w:val="00697C8D"/>
    <w:rsid w:val="006A3402"/>
    <w:rsid w:val="006B0FF0"/>
    <w:rsid w:val="006B34DF"/>
    <w:rsid w:val="006B5176"/>
    <w:rsid w:val="006B5F03"/>
    <w:rsid w:val="006C1A92"/>
    <w:rsid w:val="006C5418"/>
    <w:rsid w:val="006D5402"/>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5E8"/>
    <w:rsid w:val="00773DDF"/>
    <w:rsid w:val="007827BE"/>
    <w:rsid w:val="00782CF2"/>
    <w:rsid w:val="007956C1"/>
    <w:rsid w:val="007978F2"/>
    <w:rsid w:val="007A10BF"/>
    <w:rsid w:val="007B2697"/>
    <w:rsid w:val="007C3F27"/>
    <w:rsid w:val="007D1F3A"/>
    <w:rsid w:val="007D2C89"/>
    <w:rsid w:val="007D5FE8"/>
    <w:rsid w:val="007E4C26"/>
    <w:rsid w:val="007F113D"/>
    <w:rsid w:val="007F1925"/>
    <w:rsid w:val="00803AD1"/>
    <w:rsid w:val="00820B70"/>
    <w:rsid w:val="00824022"/>
    <w:rsid w:val="00835E01"/>
    <w:rsid w:val="00840A5B"/>
    <w:rsid w:val="0084508B"/>
    <w:rsid w:val="0085196D"/>
    <w:rsid w:val="008549CB"/>
    <w:rsid w:val="00857D8B"/>
    <w:rsid w:val="008741D3"/>
    <w:rsid w:val="0087465F"/>
    <w:rsid w:val="008843E9"/>
    <w:rsid w:val="00892683"/>
    <w:rsid w:val="00893C75"/>
    <w:rsid w:val="00893DF3"/>
    <w:rsid w:val="008970E8"/>
    <w:rsid w:val="008B64C6"/>
    <w:rsid w:val="008C487C"/>
    <w:rsid w:val="008C6AFC"/>
    <w:rsid w:val="008D1418"/>
    <w:rsid w:val="008F1663"/>
    <w:rsid w:val="008F1ECC"/>
    <w:rsid w:val="008F411B"/>
    <w:rsid w:val="00907104"/>
    <w:rsid w:val="00907CDF"/>
    <w:rsid w:val="00911145"/>
    <w:rsid w:val="0091369C"/>
    <w:rsid w:val="00917145"/>
    <w:rsid w:val="009204C2"/>
    <w:rsid w:val="00932CF2"/>
    <w:rsid w:val="00935CFF"/>
    <w:rsid w:val="009400E9"/>
    <w:rsid w:val="009426E3"/>
    <w:rsid w:val="00944EF1"/>
    <w:rsid w:val="009534B2"/>
    <w:rsid w:val="009557AC"/>
    <w:rsid w:val="009628D9"/>
    <w:rsid w:val="00967FB3"/>
    <w:rsid w:val="00971219"/>
    <w:rsid w:val="00971BCA"/>
    <w:rsid w:val="00974BD9"/>
    <w:rsid w:val="00981B50"/>
    <w:rsid w:val="0098573F"/>
    <w:rsid w:val="009872B5"/>
    <w:rsid w:val="00993136"/>
    <w:rsid w:val="009A6ECF"/>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4A8"/>
    <w:rsid w:val="00A60C3C"/>
    <w:rsid w:val="00A65403"/>
    <w:rsid w:val="00A70974"/>
    <w:rsid w:val="00A77B72"/>
    <w:rsid w:val="00A867AB"/>
    <w:rsid w:val="00AA30FE"/>
    <w:rsid w:val="00AB69C1"/>
    <w:rsid w:val="00AB6D78"/>
    <w:rsid w:val="00AC1C94"/>
    <w:rsid w:val="00AD3083"/>
    <w:rsid w:val="00AD514B"/>
    <w:rsid w:val="00AF4A49"/>
    <w:rsid w:val="00AF55E0"/>
    <w:rsid w:val="00B14658"/>
    <w:rsid w:val="00B37BE8"/>
    <w:rsid w:val="00B4397E"/>
    <w:rsid w:val="00B44276"/>
    <w:rsid w:val="00B44B7C"/>
    <w:rsid w:val="00B51D2F"/>
    <w:rsid w:val="00B55070"/>
    <w:rsid w:val="00B5640F"/>
    <w:rsid w:val="00B610E9"/>
    <w:rsid w:val="00B938D3"/>
    <w:rsid w:val="00B961B3"/>
    <w:rsid w:val="00BB1BAC"/>
    <w:rsid w:val="00BB2B6B"/>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64917"/>
    <w:rsid w:val="00C71998"/>
    <w:rsid w:val="00C74EC6"/>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85262"/>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15EC9"/>
    <w:rsid w:val="00E40BAF"/>
    <w:rsid w:val="00E461EF"/>
    <w:rsid w:val="00E54C48"/>
    <w:rsid w:val="00E629CD"/>
    <w:rsid w:val="00E63D22"/>
    <w:rsid w:val="00E64C22"/>
    <w:rsid w:val="00E7283D"/>
    <w:rsid w:val="00E821DD"/>
    <w:rsid w:val="00E90535"/>
    <w:rsid w:val="00E95541"/>
    <w:rsid w:val="00EC0DE0"/>
    <w:rsid w:val="00ED1DC0"/>
    <w:rsid w:val="00ED3C51"/>
    <w:rsid w:val="00ED3CF4"/>
    <w:rsid w:val="00ED6B5A"/>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68B"/>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6E3BA"/>
  <w15:docId w15:val="{9AFFAB60-0FF7-4B10-8155-3FC1D05C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table" w:styleId="af6">
    <w:name w:val="Table Grid"/>
    <w:basedOn w:val="a1"/>
    <w:uiPriority w:val="59"/>
    <w:locked/>
    <w:rsid w:val="009A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bis.ru/webinar/02032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sbis.ru/event/webinar_redirect/250220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sbis.ru/webinar/220316"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496C-0EDF-4301-8DB1-D24E490C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109</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4</cp:revision>
  <cp:lastPrinted>2021-06-18T04:08:00Z</cp:lastPrinted>
  <dcterms:created xsi:type="dcterms:W3CDTF">2022-02-17T09:35:00Z</dcterms:created>
  <dcterms:modified xsi:type="dcterms:W3CDTF">2022-02-17T12:43:00Z</dcterms:modified>
</cp:coreProperties>
</file>